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11D518"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2E1B3A"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en-GB" w:eastAsia="en-GB"/>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en-GB" w:eastAsia="en-GB"/>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611481538"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GB" w:eastAsia="en-GB"/>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en-GB" w:eastAsia="en-GB"/>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GB" w:eastAsia="en-GB"/>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06"/>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D5806"/>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D0AAB-E8E2-493B-8E78-841F51B9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M:\EDUC\JURP\AIPP%20documents\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4323-E73C-4331-83B9-FF36DE9F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Brad Conrad</dc:creator>
  <cp:lastModifiedBy>Brad Conrad</cp:lastModifiedBy>
  <cp:revision>1</cp:revision>
  <cp:lastPrinted>2011-03-03T08:29:00Z</cp:lastPrinted>
  <dcterms:created xsi:type="dcterms:W3CDTF">2019-02-12T17:58:00Z</dcterms:created>
  <dcterms:modified xsi:type="dcterms:W3CDTF">2019-02-12T17:59:00Z</dcterms:modified>
</cp:coreProperties>
</file>